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DA4ADA9" w:rsidR="00280DD1" w:rsidRDefault="00BC269C" w:rsidP="00280DD1">
      <w:pPr>
        <w:pStyle w:val="3GPPHeader"/>
        <w:spacing w:after="60"/>
        <w:rPr>
          <w:sz w:val="32"/>
          <w:szCs w:val="32"/>
          <w:highlight w:val="yellow"/>
        </w:rPr>
      </w:pPr>
      <w:bookmarkStart w:id="0" w:name="_GoBack"/>
      <w:bookmarkEnd w:id="0"/>
      <w:r w:rsidRPr="00DE3FC8">
        <w:rPr>
          <w:lang w:val="en-US"/>
        </w:rPr>
        <w:t>3GPP TSG-RAN WG2 #10</w:t>
      </w:r>
      <w:r>
        <w:rPr>
          <w:lang w:val="en-US"/>
        </w:rPr>
        <w:t>4</w:t>
      </w:r>
      <w:r w:rsidR="00280DD1">
        <w:tab/>
      </w:r>
      <w:r w:rsidR="00280DD1">
        <w:rPr>
          <w:sz w:val="32"/>
          <w:szCs w:val="32"/>
        </w:rPr>
        <w:t>Tdoc R2-1</w:t>
      </w:r>
      <w:r w:rsidR="001C7608">
        <w:rPr>
          <w:sz w:val="32"/>
          <w:szCs w:val="32"/>
        </w:rPr>
        <w:t>8</w:t>
      </w:r>
      <w:r w:rsidR="00353E1A">
        <w:rPr>
          <w:sz w:val="32"/>
          <w:szCs w:val="32"/>
        </w:rPr>
        <w:t>17763</w:t>
      </w:r>
    </w:p>
    <w:p w14:paraId="63B03AD2" w14:textId="7568BF6F" w:rsidR="00E90E49" w:rsidRDefault="00BC269C" w:rsidP="00357380">
      <w:pPr>
        <w:pStyle w:val="3GPPHeader"/>
        <w:rPr>
          <w:noProof/>
        </w:rPr>
      </w:pPr>
      <w:r>
        <w:rPr>
          <w:noProof/>
        </w:rPr>
        <w:t>Spokane, US, 12</w:t>
      </w:r>
      <w:r w:rsidRPr="00A2670F">
        <w:rPr>
          <w:noProof/>
          <w:vertAlign w:val="superscript"/>
        </w:rPr>
        <w:t>th</w:t>
      </w:r>
      <w:r>
        <w:rPr>
          <w:noProof/>
        </w:rPr>
        <w:t>–16</w:t>
      </w:r>
      <w:r w:rsidRPr="000F7CA3">
        <w:rPr>
          <w:noProof/>
          <w:vertAlign w:val="superscript"/>
        </w:rPr>
        <w:t>th</w:t>
      </w:r>
      <w:r>
        <w:rPr>
          <w:noProof/>
        </w:rPr>
        <w:t xml:space="preserve"> November 2018</w:t>
      </w:r>
    </w:p>
    <w:p w14:paraId="25DB88AF" w14:textId="77777777" w:rsidR="00BC269C" w:rsidRPr="00CE0424" w:rsidRDefault="00BC269C" w:rsidP="00357380">
      <w:pPr>
        <w:pStyle w:val="3GPPHeader"/>
      </w:pPr>
    </w:p>
    <w:p w14:paraId="7ACD7EB9" w14:textId="61833149" w:rsidR="00E90E49" w:rsidRPr="00CB2EA5" w:rsidRDefault="00E90E49" w:rsidP="00311702">
      <w:pPr>
        <w:pStyle w:val="3GPPHeader"/>
        <w:rPr>
          <w:sz w:val="22"/>
          <w:szCs w:val="22"/>
          <w:lang w:val="en-US"/>
        </w:rPr>
      </w:pPr>
      <w:r w:rsidRPr="00CB2EA5">
        <w:rPr>
          <w:sz w:val="22"/>
          <w:szCs w:val="22"/>
          <w:lang w:val="en-US"/>
        </w:rPr>
        <w:t>Agenda Item:</w:t>
      </w:r>
      <w:r w:rsidRPr="00CB2EA5">
        <w:rPr>
          <w:sz w:val="22"/>
          <w:szCs w:val="22"/>
          <w:lang w:val="en-US"/>
        </w:rPr>
        <w:tab/>
      </w:r>
      <w:r w:rsidR="00CB2EA5" w:rsidRPr="006F249D">
        <w:rPr>
          <w:sz w:val="22"/>
          <w:szCs w:val="22"/>
          <w:lang w:val="en-US"/>
        </w:rPr>
        <w:t>11.6</w:t>
      </w:r>
      <w:r w:rsidR="006E5F58">
        <w:rPr>
          <w:sz w:val="22"/>
          <w:szCs w:val="22"/>
          <w:lang w:val="en-US"/>
        </w:rPr>
        <w:t>.</w:t>
      </w:r>
      <w:r w:rsidR="000B4EB9">
        <w:rPr>
          <w:sz w:val="22"/>
          <w:szCs w:val="22"/>
          <w:lang w:val="en-US"/>
        </w:rPr>
        <w:t>4</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4B626B95" w:rsidR="00E90E49" w:rsidRPr="00CE0424" w:rsidRDefault="003D3C45" w:rsidP="00311702">
      <w:pPr>
        <w:pStyle w:val="3GPPHeader"/>
        <w:rPr>
          <w:sz w:val="22"/>
          <w:szCs w:val="22"/>
        </w:rPr>
      </w:pPr>
      <w:r>
        <w:rPr>
          <w:sz w:val="22"/>
          <w:szCs w:val="22"/>
        </w:rPr>
        <w:t>Title:</w:t>
      </w:r>
      <w:r w:rsidR="00E90E49" w:rsidRPr="00CE0424">
        <w:rPr>
          <w:sz w:val="22"/>
          <w:szCs w:val="22"/>
        </w:rPr>
        <w:tab/>
      </w:r>
      <w:r w:rsidR="00CB2EA5" w:rsidRPr="006F249D">
        <w:rPr>
          <w:sz w:val="22"/>
          <w:szCs w:val="22"/>
        </w:rPr>
        <w:t>Impacts of propagation delay on control plane</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F249D">
        <w:rPr>
          <w:sz w:val="22"/>
          <w:szCs w:val="22"/>
        </w:rPr>
        <w:t>Discussion, Decision</w:t>
      </w:r>
    </w:p>
    <w:p w14:paraId="5BE30A7B" w14:textId="77777777" w:rsidR="00C24345" w:rsidRDefault="00E90E49" w:rsidP="00A2052C">
      <w:pPr>
        <w:pStyle w:val="Heading1"/>
      </w:pPr>
      <w:r w:rsidRPr="00CE0424">
        <w:t>Introduction</w:t>
      </w:r>
    </w:p>
    <w:p w14:paraId="22A53AF3" w14:textId="0D0E5361"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rsidR="006F249D">
        <w:t>TR 38.811</w:t>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0EACEA1B" w14:textId="4A7AC668" w:rsidR="00BC269C" w:rsidRDefault="00BC269C" w:rsidP="00BC269C">
      <w:pPr>
        <w:spacing w:after="0"/>
      </w:pPr>
      <w:r>
        <w:t xml:space="preserve">In this paper, we discuss </w:t>
      </w:r>
      <w:r w:rsidR="0009248F">
        <w:t>the impacts</w:t>
      </w:r>
      <w:r w:rsidR="009801F1">
        <w:t xml:space="preserve"> of propagation delay on control plane</w:t>
      </w:r>
      <w:r>
        <w:t>.</w:t>
      </w:r>
    </w:p>
    <w:p w14:paraId="5764FF3A" w14:textId="77777777" w:rsidR="004000E8" w:rsidRPr="00CE0424" w:rsidRDefault="004000E8" w:rsidP="00CE0424">
      <w:pPr>
        <w:pStyle w:val="Heading1"/>
      </w:pPr>
      <w:bookmarkStart w:id="1" w:name="_Ref178064866"/>
      <w:r w:rsidRPr="00CE0424">
        <w:t>Discussion</w:t>
      </w:r>
      <w:bookmarkEnd w:id="1"/>
    </w:p>
    <w:p w14:paraId="37475804" w14:textId="77777777" w:rsidR="00CB2EA5" w:rsidRDefault="00CB2EA5" w:rsidP="00CB2EA5">
      <w:pPr>
        <w:pStyle w:val="Heading2"/>
        <w:numPr>
          <w:ilvl w:val="1"/>
          <w:numId w:val="19"/>
        </w:numPr>
        <w:textAlignment w:val="auto"/>
      </w:pPr>
      <w:r>
        <w:t>RRC signalling aspects</w:t>
      </w:r>
    </w:p>
    <w:p w14:paraId="47085616" w14:textId="7F86279E" w:rsidR="00CB2EA5" w:rsidRDefault="00CB2EA5" w:rsidP="00CB2EA5">
      <w:r>
        <w:t xml:space="preserve">Mobility aspects for satellite communications </w:t>
      </w:r>
      <w:r w:rsidR="00A5088E">
        <w:t>were</w:t>
      </w:r>
      <w:r>
        <w:t xml:space="preserve"> treated in</w:t>
      </w:r>
      <w:r w:rsidR="00A5088E">
        <w:t xml:space="preserve"> earlier</w:t>
      </w:r>
      <w:r>
        <w:t xml:space="preserve"> contributions [</w:t>
      </w:r>
      <w:r w:rsidR="00C359EA">
        <w:t>2</w:t>
      </w:r>
      <w:r>
        <w:t xml:space="preserve">]. One aspect regarding mobility and RRC procedure is that of the large delays that the RRC-layer can experience due to the cascading of physical layer delays as can be seen in figure 1. It would be important to study RRC signalling aspects as the RRC-layer contains a large number of timers and closed-loop procedures.  </w:t>
      </w:r>
    </w:p>
    <w:p w14:paraId="25DB7285" w14:textId="77777777" w:rsidR="00CB2EA5" w:rsidRDefault="00CB2EA5" w:rsidP="00CB2EA5"/>
    <w:p w14:paraId="6EC51AB3" w14:textId="7F3A1EAC" w:rsidR="00CB2EA5" w:rsidRDefault="00CB2EA5" w:rsidP="00CB2EA5">
      <w:pPr>
        <w:jc w:val="center"/>
      </w:pPr>
      <w:r>
        <w:rPr>
          <w:noProof/>
        </w:rPr>
        <w:lastRenderedPageBreak/>
        <w:drawing>
          <wp:inline distT="0" distB="0" distL="0" distR="0" wp14:anchorId="4E6878E5" wp14:editId="5B2A4230">
            <wp:extent cx="3724275" cy="4867275"/>
            <wp:effectExtent l="0" t="0" r="9525" b="9525"/>
            <wp:docPr id="2" name="Picture 2" descr="RRC delays UE to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RC delays UE to gN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4275" cy="4867275"/>
                    </a:xfrm>
                    <a:prstGeom prst="rect">
                      <a:avLst/>
                    </a:prstGeom>
                    <a:noFill/>
                    <a:ln>
                      <a:noFill/>
                    </a:ln>
                  </pic:spPr>
                </pic:pic>
              </a:graphicData>
            </a:graphic>
          </wp:inline>
        </w:drawing>
      </w:r>
    </w:p>
    <w:p w14:paraId="1A9E42AF" w14:textId="77777777" w:rsidR="00CB2EA5" w:rsidRDefault="00CB2EA5" w:rsidP="00CB2EA5">
      <w:pPr>
        <w:jc w:val="center"/>
        <w:rPr>
          <w:b/>
        </w:rPr>
      </w:pPr>
      <w:r>
        <w:rPr>
          <w:b/>
        </w:rPr>
        <w:t>Figure 1: RRC delays</w:t>
      </w:r>
    </w:p>
    <w:p w14:paraId="4470FE94" w14:textId="77777777" w:rsidR="00CB2EA5" w:rsidRDefault="00CB2EA5" w:rsidP="00CB2EA5">
      <w:r>
        <w:t>As an example, the T304 timer is described as below in TS 38.331:</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B2EA5" w14:paraId="48D378BD" w14:textId="77777777" w:rsidTr="00CB2EA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DE346C9" w14:textId="77777777" w:rsidR="00CB2EA5" w:rsidRDefault="00CB2EA5">
            <w:pPr>
              <w:pStyle w:val="TAH"/>
              <w:rPr>
                <w:lang w:val="en-US" w:eastAsia="en-GB"/>
              </w:rPr>
            </w:pPr>
            <w:r>
              <w:rPr>
                <w:lang w:val="en-US"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531F70C0" w14:textId="77777777" w:rsidR="00CB2EA5" w:rsidRDefault="00CB2EA5">
            <w:pPr>
              <w:pStyle w:val="TAH"/>
              <w:rPr>
                <w:lang w:val="en-US" w:eastAsia="en-GB"/>
              </w:rPr>
            </w:pPr>
            <w:r>
              <w:rPr>
                <w:lang w:val="en-US"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78354685" w14:textId="77777777" w:rsidR="00CB2EA5" w:rsidRDefault="00CB2EA5">
            <w:pPr>
              <w:pStyle w:val="TAH"/>
              <w:rPr>
                <w:lang w:val="en-US" w:eastAsia="en-GB"/>
              </w:rPr>
            </w:pPr>
            <w:r>
              <w:rPr>
                <w:lang w:val="en-US"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2EDF552D" w14:textId="77777777" w:rsidR="00CB2EA5" w:rsidRDefault="00CB2EA5">
            <w:pPr>
              <w:pStyle w:val="TAH"/>
              <w:rPr>
                <w:lang w:val="en-US" w:eastAsia="en-GB"/>
              </w:rPr>
            </w:pPr>
            <w:r>
              <w:rPr>
                <w:lang w:val="en-US" w:eastAsia="en-GB"/>
              </w:rPr>
              <w:t>At expiry</w:t>
            </w:r>
          </w:p>
        </w:tc>
      </w:tr>
      <w:tr w:rsidR="00CB2EA5" w14:paraId="21F1B82D" w14:textId="77777777" w:rsidTr="00CB2EA5">
        <w:trPr>
          <w:cantSplit/>
        </w:trPr>
        <w:tc>
          <w:tcPr>
            <w:tcW w:w="1134" w:type="dxa"/>
            <w:tcBorders>
              <w:top w:val="single" w:sz="4" w:space="0" w:color="auto"/>
              <w:left w:val="single" w:sz="4" w:space="0" w:color="auto"/>
              <w:bottom w:val="single" w:sz="4" w:space="0" w:color="auto"/>
              <w:right w:val="single" w:sz="4" w:space="0" w:color="auto"/>
            </w:tcBorders>
            <w:hideMark/>
          </w:tcPr>
          <w:p w14:paraId="73CBB8E2" w14:textId="77777777" w:rsidR="00CB2EA5" w:rsidRDefault="00CB2EA5">
            <w:pPr>
              <w:pStyle w:val="TAL"/>
              <w:rPr>
                <w:lang w:val="en-US" w:eastAsia="en-GB"/>
              </w:rPr>
            </w:pPr>
            <w:r>
              <w:rPr>
                <w:lang w:val="en-US" w:eastAsia="en-GB"/>
              </w:rPr>
              <w:t>T304</w:t>
            </w:r>
          </w:p>
        </w:tc>
        <w:tc>
          <w:tcPr>
            <w:tcW w:w="2268" w:type="dxa"/>
            <w:tcBorders>
              <w:top w:val="single" w:sz="4" w:space="0" w:color="auto"/>
              <w:left w:val="single" w:sz="4" w:space="0" w:color="auto"/>
              <w:bottom w:val="single" w:sz="4" w:space="0" w:color="auto"/>
              <w:right w:val="single" w:sz="4" w:space="0" w:color="auto"/>
            </w:tcBorders>
            <w:hideMark/>
          </w:tcPr>
          <w:p w14:paraId="6980A837" w14:textId="77777777" w:rsidR="00CB2EA5" w:rsidRDefault="00CB2EA5">
            <w:pPr>
              <w:pStyle w:val="TAL"/>
              <w:rPr>
                <w:lang w:val="en-US" w:eastAsia="ja-JP"/>
              </w:rPr>
            </w:pPr>
            <w:r>
              <w:rPr>
                <w:lang w:val="en-US" w:eastAsia="en-GB"/>
              </w:rPr>
              <w:t xml:space="preserve">Reception of </w:t>
            </w:r>
            <w:r>
              <w:rPr>
                <w:i/>
                <w:lang w:val="en-US" w:eastAsia="en-GB"/>
              </w:rPr>
              <w:t>RRCReconfiguration</w:t>
            </w:r>
            <w:r>
              <w:rPr>
                <w:lang w:val="en-US" w:eastAsia="en-GB"/>
              </w:rPr>
              <w:t xml:space="preserve"> message including </w:t>
            </w:r>
            <w:r>
              <w:rPr>
                <w:i/>
                <w:lang w:val="en-US" w:eastAsia="ja-JP"/>
              </w:rPr>
              <w:t>reconfigurationWithSync</w:t>
            </w:r>
          </w:p>
        </w:tc>
        <w:tc>
          <w:tcPr>
            <w:tcW w:w="2835" w:type="dxa"/>
            <w:tcBorders>
              <w:top w:val="single" w:sz="4" w:space="0" w:color="auto"/>
              <w:left w:val="single" w:sz="4" w:space="0" w:color="auto"/>
              <w:bottom w:val="single" w:sz="4" w:space="0" w:color="auto"/>
              <w:right w:val="single" w:sz="4" w:space="0" w:color="auto"/>
            </w:tcBorders>
            <w:hideMark/>
          </w:tcPr>
          <w:p w14:paraId="07C23866" w14:textId="77777777" w:rsidR="00CB2EA5" w:rsidRDefault="00CB2EA5">
            <w:pPr>
              <w:pStyle w:val="TAL"/>
              <w:rPr>
                <w:lang w:val="en-US" w:eastAsia="en-GB"/>
              </w:rPr>
            </w:pPr>
            <w:r>
              <w:rPr>
                <w:lang w:val="en-US" w:eastAsia="en-GB"/>
              </w:rPr>
              <w:t>Successful completion of random access on the corresponding  SpCell</w:t>
            </w:r>
          </w:p>
          <w:p w14:paraId="40FA628B" w14:textId="77777777" w:rsidR="00CB2EA5" w:rsidRDefault="00CB2EA5">
            <w:pPr>
              <w:pStyle w:val="TAL"/>
              <w:rPr>
                <w:lang w:val="en-US" w:eastAsia="en-GB"/>
              </w:rPr>
            </w:pPr>
            <w:r>
              <w:rPr>
                <w:lang w:val="en-US" w:eastAsia="en-GB"/>
              </w:rPr>
              <w:t xml:space="preserve">For T304 of SCG, </w:t>
            </w:r>
            <w:r>
              <w:rPr>
                <w:rFonts w:eastAsia="SimSun"/>
                <w:lang w:val="en-US" w:eastAsia="zh-CN"/>
              </w:rPr>
              <w:t>upon SCG release</w:t>
            </w:r>
          </w:p>
        </w:tc>
        <w:tc>
          <w:tcPr>
            <w:tcW w:w="2835" w:type="dxa"/>
            <w:tcBorders>
              <w:top w:val="single" w:sz="4" w:space="0" w:color="auto"/>
              <w:left w:val="single" w:sz="4" w:space="0" w:color="auto"/>
              <w:bottom w:val="single" w:sz="4" w:space="0" w:color="auto"/>
              <w:right w:val="single" w:sz="4" w:space="0" w:color="auto"/>
            </w:tcBorders>
          </w:tcPr>
          <w:p w14:paraId="60A33EE4" w14:textId="77777777" w:rsidR="00CB2EA5" w:rsidRDefault="00CB2EA5">
            <w:pPr>
              <w:pStyle w:val="TAL"/>
              <w:rPr>
                <w:lang w:val="en-US" w:eastAsia="zh-CN"/>
              </w:rPr>
            </w:pPr>
            <w:r>
              <w:rPr>
                <w:lang w:val="en-US" w:eastAsia="en-GB"/>
              </w:rPr>
              <w:t>For T304 of SCG, inform network about the reconfiguration with sync failure by initiating the SCG failure information procedure as specified in 5.7.3</w:t>
            </w:r>
            <w:r>
              <w:rPr>
                <w:lang w:val="en-US" w:eastAsia="zh-CN"/>
              </w:rPr>
              <w:t>.</w:t>
            </w:r>
          </w:p>
          <w:p w14:paraId="71B0AD35" w14:textId="77777777" w:rsidR="00CB2EA5" w:rsidRDefault="00CB2EA5">
            <w:pPr>
              <w:pStyle w:val="TAL"/>
              <w:rPr>
                <w:lang w:val="en-US" w:eastAsia="en-GB"/>
              </w:rPr>
            </w:pPr>
          </w:p>
        </w:tc>
      </w:tr>
    </w:tbl>
    <w:p w14:paraId="51335BCE" w14:textId="77777777" w:rsidR="00CB2EA5" w:rsidRPr="00CB2EA5" w:rsidRDefault="00CB2EA5" w:rsidP="00CB2EA5">
      <w:pPr>
        <w:rPr>
          <w:rFonts w:asciiTheme="minorHAnsi" w:eastAsiaTheme="minorEastAsia" w:hAnsiTheme="minorHAnsi" w:cstheme="minorBidi"/>
          <w:sz w:val="22"/>
          <w:szCs w:val="22"/>
          <w:lang w:val="en-US"/>
        </w:rPr>
      </w:pPr>
      <w:r>
        <w:t xml:space="preserve">The current timer depends not only on one but several closed-loop procedures such as random access which means that the expected delays of the handover procedures will be much larger than in the terrestrial case. The current timer-values have been however extended to the extreme case of 10000ms, which should be enough for even the most problematic satellite random access attempts. </w:t>
      </w:r>
    </w:p>
    <w:p w14:paraId="3A55D649" w14:textId="5FC55C5F" w:rsidR="00CB2EA5" w:rsidRDefault="00CB2EA5" w:rsidP="00CB2EA5">
      <w:bookmarkStart w:id="2" w:name="_Toc525851822"/>
      <w:r>
        <w:t>For RRC reconfiguration in the terrestrial case, the procedure is considered quite inexpensive. But in the satellite case, such a procedure can be very slow compared to the normal case. This should be taken into account when discussing possible</w:t>
      </w:r>
      <w:r w:rsidR="000F4538">
        <w:t xml:space="preserve"> RRC</w:t>
      </w:r>
      <w:r>
        <w:t xml:space="preserve"> reconfigurations performed on-the-fly. RAN2 should consider this delay when discussing </w:t>
      </w:r>
      <w:r w:rsidR="007C51F2">
        <w:t xml:space="preserve">on-the-fly </w:t>
      </w:r>
      <w:r>
        <w:t>RRC reconfigurations.</w:t>
      </w:r>
      <w:bookmarkEnd w:id="2"/>
    </w:p>
    <w:p w14:paraId="0A0A904E" w14:textId="77777777" w:rsidR="00CB2EA5" w:rsidRDefault="00CB2EA5" w:rsidP="00CB2EA5">
      <w:r>
        <w:t>Similar effects are expected for other RRC procedures.</w:t>
      </w:r>
    </w:p>
    <w:p w14:paraId="524EB562" w14:textId="77777777" w:rsidR="00CB2EA5" w:rsidRDefault="00CB2EA5" w:rsidP="00CB2EA5">
      <w:pPr>
        <w:pStyle w:val="Observation"/>
        <w:numPr>
          <w:ilvl w:val="0"/>
          <w:numId w:val="21"/>
        </w:numPr>
        <w:overflowPunct/>
        <w:autoSpaceDE/>
        <w:autoSpaceDN/>
        <w:adjustRightInd/>
        <w:spacing w:after="160" w:line="256" w:lineRule="auto"/>
        <w:jc w:val="left"/>
        <w:textAlignment w:val="auto"/>
      </w:pPr>
      <w:bookmarkStart w:id="3" w:name="_Toc525851849"/>
      <w:bookmarkStart w:id="4" w:name="_Toc525851823"/>
      <w:bookmarkStart w:id="5" w:name="_Toc525849290"/>
      <w:bookmarkStart w:id="6" w:name="_Toc525844491"/>
      <w:bookmarkStart w:id="7" w:name="_Toc525844261"/>
      <w:bookmarkStart w:id="8" w:name="_Toc525831167"/>
      <w:bookmarkStart w:id="9" w:name="_Toc525561570"/>
      <w:bookmarkStart w:id="10" w:name="_Toc525288410"/>
      <w:bookmarkStart w:id="11" w:name="_Toc525128458"/>
      <w:bookmarkStart w:id="12" w:name="_Toc527967483"/>
      <w:bookmarkStart w:id="13" w:name="_Toc528871975"/>
      <w:bookmarkStart w:id="14" w:name="_Toc528873450"/>
      <w:r>
        <w:t>The impact of long delays on RRC procedures can be very large.</w:t>
      </w:r>
      <w:bookmarkEnd w:id="3"/>
      <w:bookmarkEnd w:id="4"/>
      <w:bookmarkEnd w:id="5"/>
      <w:bookmarkEnd w:id="6"/>
      <w:bookmarkEnd w:id="7"/>
      <w:bookmarkEnd w:id="8"/>
      <w:bookmarkEnd w:id="9"/>
      <w:bookmarkEnd w:id="10"/>
      <w:bookmarkEnd w:id="11"/>
      <w:bookmarkEnd w:id="12"/>
      <w:bookmarkEnd w:id="13"/>
      <w:bookmarkEnd w:id="14"/>
      <w:r>
        <w:t xml:space="preserve"> </w:t>
      </w:r>
    </w:p>
    <w:p w14:paraId="30916185" w14:textId="77777777" w:rsidR="00CB2EA5" w:rsidRDefault="00CB2EA5" w:rsidP="00CB2EA5">
      <w:pPr>
        <w:pStyle w:val="Heading2"/>
        <w:numPr>
          <w:ilvl w:val="1"/>
          <w:numId w:val="19"/>
        </w:numPr>
        <w:textAlignment w:val="auto"/>
      </w:pPr>
      <w:r>
        <w:t>NR Connection Control</w:t>
      </w:r>
    </w:p>
    <w:p w14:paraId="5456FAE4" w14:textId="77777777" w:rsidR="00CB2EA5" w:rsidRDefault="00CB2EA5" w:rsidP="00CB2EA5">
      <w:r>
        <w:t xml:space="preserve">Due to the relatively long propagation delays, the basic connection-setup procedures (msg 1 to msg 4) might take a very long time compared to terrestrial case. In addition to the basic connection-setup procedures, there </w:t>
      </w:r>
      <w:r>
        <w:lastRenderedPageBreak/>
        <w:t xml:space="preserve">are also several more exchanges needed to setup security, radio bearers, UE capability and possible RRC reconfigurations. </w:t>
      </w:r>
    </w:p>
    <w:p w14:paraId="27E3D2EC" w14:textId="77777777" w:rsidR="00CB2EA5" w:rsidRDefault="00CB2EA5" w:rsidP="00CB2EA5">
      <w:r>
        <w:t xml:space="preserve">In NR, a new RRC-state, RRC_INACTIVE was introduced as a more light-weight option to RRC_IDLE. In RRC_INACTIVE many of the Control and User plane connections are established and UE AS contexts are also kept in UE and gNB. Paging is also initiated by RAN rather than CN. In Figure 2, a comparison between possible connection transitions can be seen. </w:t>
      </w:r>
    </w:p>
    <w:p w14:paraId="6A1F7642" w14:textId="3311F415" w:rsidR="00CB2EA5" w:rsidRDefault="00CB2EA5" w:rsidP="00CB2EA5">
      <w:pPr>
        <w:pStyle w:val="Observation"/>
        <w:numPr>
          <w:ilvl w:val="0"/>
          <w:numId w:val="21"/>
        </w:numPr>
        <w:overflowPunct/>
        <w:autoSpaceDE/>
        <w:autoSpaceDN/>
        <w:adjustRightInd/>
        <w:spacing w:after="160" w:line="256" w:lineRule="auto"/>
        <w:jc w:val="left"/>
        <w:textAlignment w:val="auto"/>
      </w:pPr>
      <w:bookmarkStart w:id="15" w:name="_Toc525851850"/>
      <w:bookmarkStart w:id="16" w:name="_Toc525851824"/>
      <w:bookmarkStart w:id="17" w:name="_Toc525849292"/>
      <w:bookmarkStart w:id="18" w:name="_Toc525844493"/>
      <w:bookmarkStart w:id="19" w:name="_Toc525844263"/>
      <w:bookmarkStart w:id="20" w:name="_Toc525831169"/>
      <w:bookmarkStart w:id="21" w:name="_Toc525561571"/>
      <w:bookmarkStart w:id="22" w:name="_Toc527967484"/>
      <w:bookmarkStart w:id="23" w:name="_Toc528871976"/>
      <w:bookmarkStart w:id="24" w:name="_Toc528873451"/>
      <w:r>
        <w:t>RRC state transitions may have</w:t>
      </w:r>
      <w:r w:rsidR="00353E1A">
        <w:t xml:space="preserve"> vastly</w:t>
      </w:r>
      <w:r>
        <w:t xml:space="preserve"> different </w:t>
      </w:r>
      <w:r w:rsidR="00353E1A">
        <w:t>total delay</w:t>
      </w:r>
      <w:r>
        <w:t xml:space="preserve"> for the satellite case.</w:t>
      </w:r>
      <w:bookmarkEnd w:id="15"/>
      <w:bookmarkEnd w:id="16"/>
      <w:bookmarkEnd w:id="17"/>
      <w:bookmarkEnd w:id="18"/>
      <w:bookmarkEnd w:id="19"/>
      <w:bookmarkEnd w:id="20"/>
      <w:bookmarkEnd w:id="21"/>
      <w:bookmarkEnd w:id="22"/>
      <w:bookmarkEnd w:id="23"/>
      <w:bookmarkEnd w:id="24"/>
      <w:r>
        <w:t xml:space="preserve"> </w:t>
      </w:r>
    </w:p>
    <w:p w14:paraId="5408A99A" w14:textId="637E8D04" w:rsidR="00CB2EA5" w:rsidRDefault="00CB2EA5" w:rsidP="00CB2EA5">
      <w:pPr>
        <w:jc w:val="center"/>
      </w:pPr>
      <w:r>
        <w:rPr>
          <w:noProof/>
        </w:rPr>
        <w:drawing>
          <wp:inline distT="0" distB="0" distL="0" distR="0" wp14:anchorId="18F2D7A3" wp14:editId="5260B7F8">
            <wp:extent cx="6120765" cy="3455670"/>
            <wp:effectExtent l="0" t="0" r="0" b="0"/>
            <wp:docPr id="1" name="Picture 1" descr="Control_plan_access_wRRCrecon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trol_plan_access_wRRCreconfi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455670"/>
                    </a:xfrm>
                    <a:prstGeom prst="rect">
                      <a:avLst/>
                    </a:prstGeom>
                    <a:noFill/>
                    <a:ln>
                      <a:noFill/>
                    </a:ln>
                  </pic:spPr>
                </pic:pic>
              </a:graphicData>
            </a:graphic>
          </wp:inline>
        </w:drawing>
      </w:r>
    </w:p>
    <w:p w14:paraId="6B5F5ACD" w14:textId="77777777" w:rsidR="00CB2EA5" w:rsidRDefault="00CB2EA5" w:rsidP="00CB2EA5">
      <w:pPr>
        <w:jc w:val="center"/>
        <w:rPr>
          <w:b/>
        </w:rPr>
      </w:pPr>
      <w:r>
        <w:rPr>
          <w:b/>
        </w:rPr>
        <w:t>Figure 2: Simplified depiction of procedures to enter RRC_CONNECTED</w:t>
      </w:r>
    </w:p>
    <w:p w14:paraId="442B4CDB" w14:textId="77777777" w:rsidR="00CB2EA5" w:rsidRDefault="00CB2EA5" w:rsidP="00CB2EA5">
      <w:r>
        <w:t>In figure 2 it can be seen that the procedures are very different in terms of number of round-trips that are required in order to complete the transitions and for every possible lower layer retransmission during this procedure, another round-trip is added.</w:t>
      </w:r>
    </w:p>
    <w:p w14:paraId="4C303411" w14:textId="77777777" w:rsidR="00CB2EA5" w:rsidRDefault="00CB2EA5" w:rsidP="00CB2EA5">
      <w:pPr>
        <w:pStyle w:val="Proposal"/>
        <w:numPr>
          <w:ilvl w:val="0"/>
          <w:numId w:val="20"/>
        </w:numPr>
        <w:overflowPunct/>
        <w:autoSpaceDE/>
        <w:autoSpaceDN/>
        <w:adjustRightInd/>
        <w:spacing w:after="160" w:line="256" w:lineRule="auto"/>
        <w:jc w:val="left"/>
        <w:textAlignment w:val="auto"/>
      </w:pPr>
      <w:bookmarkStart w:id="25" w:name="_Toc525851854"/>
      <w:bookmarkStart w:id="26" w:name="_Toc525849357"/>
      <w:bookmarkStart w:id="27" w:name="_Toc525849294"/>
      <w:bookmarkStart w:id="28" w:name="_Toc527967480"/>
      <w:bookmarkStart w:id="29" w:name="_Toc528871982"/>
      <w:bookmarkStart w:id="30" w:name="_Toc528873460"/>
      <w:r>
        <w:t>RAN2 to consider studying possible improvements to control plane procedures for improving connection setup latencies.</w:t>
      </w:r>
      <w:bookmarkEnd w:id="25"/>
      <w:bookmarkEnd w:id="26"/>
      <w:bookmarkEnd w:id="27"/>
      <w:bookmarkEnd w:id="28"/>
      <w:bookmarkEnd w:id="29"/>
      <w:bookmarkEnd w:id="30"/>
    </w:p>
    <w:p w14:paraId="15FF5222" w14:textId="77777777" w:rsidR="00C01F33" w:rsidRPr="00CE0424" w:rsidRDefault="00C01F33" w:rsidP="00CE0424">
      <w:pPr>
        <w:pStyle w:val="Heading1"/>
      </w:pPr>
      <w:r w:rsidRPr="00CE0424">
        <w:t>Conclusion</w:t>
      </w:r>
    </w:p>
    <w:p w14:paraId="51D5809F" w14:textId="284AA375" w:rsidR="00C749EA"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59EA">
        <w:t>2</w:t>
      </w:r>
      <w:r w:rsidRPr="00CE0424">
        <w:rPr>
          <w:highlight w:val="cyan"/>
        </w:rPr>
        <w:fldChar w:fldCharType="end"/>
      </w:r>
      <w:r w:rsidRPr="00CE0424">
        <w:t xml:space="preserve"> we </w:t>
      </w:r>
      <w:r>
        <w:t>made the following observations</w:t>
      </w:r>
      <w:r w:rsidRPr="00CE0424">
        <w:t>:</w:t>
      </w:r>
    </w:p>
    <w:p w14:paraId="5FA2E97F" w14:textId="77777777" w:rsidR="00190099" w:rsidRDefault="0019009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t>Observation 1</w:t>
      </w:r>
      <w:r>
        <w:rPr>
          <w:rFonts w:asciiTheme="minorHAnsi" w:eastAsiaTheme="minorEastAsia" w:hAnsiTheme="minorHAnsi" w:cstheme="minorBidi"/>
          <w:b w:val="0"/>
          <w:sz w:val="22"/>
        </w:rPr>
        <w:tab/>
      </w:r>
      <w:r>
        <w:t>The impact of long delays on RRC procedures can be very large.</w:t>
      </w:r>
    </w:p>
    <w:p w14:paraId="07E4A148" w14:textId="77777777" w:rsidR="00190099" w:rsidRDefault="00190099">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RRC state transitions may have vastly different total delay for the satellite case.</w:t>
      </w:r>
    </w:p>
    <w:p w14:paraId="5B22A5B8" w14:textId="04C725A8" w:rsidR="008E065E" w:rsidRDefault="00190099" w:rsidP="00190099">
      <w:pPr>
        <w:pStyle w:val="BodyText"/>
        <w:rPr>
          <w:b/>
          <w:bCs/>
        </w:rPr>
      </w:pPr>
      <w:r>
        <w:rPr>
          <w:b/>
          <w:bCs/>
        </w:rPr>
        <w:fldChar w:fldCharType="end"/>
      </w:r>
    </w:p>
    <w:p w14:paraId="29239F24" w14:textId="62157D4A" w:rsidR="00C749E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59EA">
        <w:t>2</w:t>
      </w:r>
      <w:r w:rsidRPr="00CE0424">
        <w:rPr>
          <w:highlight w:val="cyan"/>
        </w:rPr>
        <w:fldChar w:fldCharType="end"/>
      </w:r>
      <w:r w:rsidRPr="00CE0424">
        <w:t xml:space="preserve"> we propose the following:</w:t>
      </w:r>
    </w:p>
    <w:bookmarkStart w:id="31" w:name="_In-sequence_SDU_delivery"/>
    <w:bookmarkEnd w:id="31"/>
    <w:p w14:paraId="2DF20B00" w14:textId="77777777" w:rsidR="002476D3" w:rsidRDefault="002476D3">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t>Proposal 1</w:t>
      </w:r>
      <w:r>
        <w:rPr>
          <w:rFonts w:asciiTheme="minorHAnsi" w:eastAsiaTheme="minorEastAsia" w:hAnsiTheme="minorHAnsi" w:cstheme="minorBidi"/>
          <w:b w:val="0"/>
          <w:sz w:val="22"/>
        </w:rPr>
        <w:tab/>
      </w:r>
      <w:r>
        <w:t>RAN2 to consider studying possible improvements to control plane procedures for improving connection setup latencies.</w:t>
      </w:r>
    </w:p>
    <w:p w14:paraId="2428EA14" w14:textId="7A2D10FF" w:rsidR="00F507D1" w:rsidRPr="00CE0424" w:rsidRDefault="002476D3" w:rsidP="002476D3">
      <w:pPr>
        <w:pStyle w:val="Heading1"/>
      </w:pPr>
      <w:r>
        <w:rPr>
          <w:b/>
          <w:bCs/>
        </w:rPr>
        <w:fldChar w:fldCharType="end"/>
      </w:r>
      <w:r w:rsidR="00F507D1" w:rsidRPr="00CE0424">
        <w:t>References</w:t>
      </w:r>
    </w:p>
    <w:p w14:paraId="074E33CB" w14:textId="77777777" w:rsidR="00CB2EA5" w:rsidRPr="00CB2EA5" w:rsidRDefault="00CB2EA5" w:rsidP="00CB2EA5">
      <w:pPr>
        <w:pStyle w:val="Reference"/>
        <w:numPr>
          <w:ilvl w:val="0"/>
          <w:numId w:val="22"/>
        </w:numPr>
        <w:overflowPunct/>
        <w:autoSpaceDE/>
        <w:autoSpaceDN/>
        <w:adjustRightInd/>
        <w:spacing w:after="160" w:line="256" w:lineRule="auto"/>
        <w:jc w:val="left"/>
        <w:textAlignment w:val="auto"/>
        <w:rPr>
          <w:rFonts w:asciiTheme="minorHAnsi" w:hAnsiTheme="minorHAnsi"/>
          <w:lang w:val="en-US"/>
        </w:rPr>
      </w:pPr>
      <w:bookmarkStart w:id="32" w:name="_Ref509923152"/>
      <w:bookmarkStart w:id="33" w:name="_Ref189809556"/>
      <w:bookmarkStart w:id="34" w:name="_Ref174151459"/>
      <w:r>
        <w:t xml:space="preserve">RP-181370, New SID on Solutions for NR to support Non Terrestrial Network, Thales, RAN#80, </w:t>
      </w:r>
      <w:bookmarkEnd w:id="32"/>
      <w:r>
        <w:t>La Jolla, USA, June 2018</w:t>
      </w:r>
    </w:p>
    <w:bookmarkEnd w:id="33"/>
    <w:bookmarkEnd w:id="34"/>
    <w:p w14:paraId="662A2195" w14:textId="77777777" w:rsidR="00CB2EA5" w:rsidRDefault="00CB2EA5" w:rsidP="00CB2EA5">
      <w:pPr>
        <w:pStyle w:val="Reference"/>
        <w:numPr>
          <w:ilvl w:val="0"/>
          <w:numId w:val="22"/>
        </w:numPr>
        <w:overflowPunct/>
        <w:autoSpaceDE/>
        <w:autoSpaceDN/>
        <w:adjustRightInd/>
        <w:spacing w:after="160" w:line="256" w:lineRule="auto"/>
        <w:jc w:val="left"/>
        <w:textAlignment w:val="auto"/>
      </w:pPr>
      <w:r>
        <w:t>R2-1814933 Mobility Aspects for NTN NR, Ericsson, RAN2#103bis, Chengdu, PR. China, October 2018</w:t>
      </w:r>
    </w:p>
    <w:p w14:paraId="7801EA81"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C9109" w14:textId="77777777" w:rsidR="002A4118" w:rsidRDefault="002A4118">
      <w:r>
        <w:separator/>
      </w:r>
    </w:p>
  </w:endnote>
  <w:endnote w:type="continuationSeparator" w:id="0">
    <w:p w14:paraId="61648908" w14:textId="77777777" w:rsidR="002A4118" w:rsidRDefault="002A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2A3F4" w14:textId="77777777" w:rsidR="002A4118" w:rsidRDefault="002A4118">
      <w:r>
        <w:separator/>
      </w:r>
    </w:p>
  </w:footnote>
  <w:footnote w:type="continuationSeparator" w:id="0">
    <w:p w14:paraId="1D63C7E0" w14:textId="77777777" w:rsidR="002A4118" w:rsidRDefault="002A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F457F3"/>
    <w:multiLevelType w:val="hybridMultilevel"/>
    <w:tmpl w:val="FA1810F0"/>
    <w:lvl w:ilvl="0" w:tplc="80BC11F4">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4"/>
  </w:num>
  <w:num w:numId="17">
    <w:abstractNumId w:val="12"/>
  </w:num>
  <w:num w:numId="18">
    <w:abstractNumId w:val="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8F"/>
    <w:rsid w:val="000924C1"/>
    <w:rsid w:val="000924F0"/>
    <w:rsid w:val="00093474"/>
    <w:rsid w:val="0009510F"/>
    <w:rsid w:val="000A1B7B"/>
    <w:rsid w:val="000A56F2"/>
    <w:rsid w:val="000B2719"/>
    <w:rsid w:val="000B3A8F"/>
    <w:rsid w:val="000B4AB9"/>
    <w:rsid w:val="000B4EB9"/>
    <w:rsid w:val="000B58C3"/>
    <w:rsid w:val="000B61E9"/>
    <w:rsid w:val="000C165A"/>
    <w:rsid w:val="000C175C"/>
    <w:rsid w:val="000C2E19"/>
    <w:rsid w:val="000D0D07"/>
    <w:rsid w:val="000D4797"/>
    <w:rsid w:val="000E0527"/>
    <w:rsid w:val="000E1E92"/>
    <w:rsid w:val="000F06D6"/>
    <w:rsid w:val="000F0EB1"/>
    <w:rsid w:val="000F1106"/>
    <w:rsid w:val="000F3BE9"/>
    <w:rsid w:val="000F3F6C"/>
    <w:rsid w:val="000F4538"/>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099"/>
    <w:rsid w:val="00190AC1"/>
    <w:rsid w:val="0019341A"/>
    <w:rsid w:val="00197DF9"/>
    <w:rsid w:val="001A1987"/>
    <w:rsid w:val="001A2564"/>
    <w:rsid w:val="001A6173"/>
    <w:rsid w:val="001A6CBA"/>
    <w:rsid w:val="001B0D97"/>
    <w:rsid w:val="001B548C"/>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D3"/>
    <w:rsid w:val="002500C8"/>
    <w:rsid w:val="00256492"/>
    <w:rsid w:val="00257543"/>
    <w:rsid w:val="002617E7"/>
    <w:rsid w:val="00264228"/>
    <w:rsid w:val="00264334"/>
    <w:rsid w:val="0026473E"/>
    <w:rsid w:val="00266214"/>
    <w:rsid w:val="00267C83"/>
    <w:rsid w:val="0027144F"/>
    <w:rsid w:val="00271F3A"/>
    <w:rsid w:val="00273278"/>
    <w:rsid w:val="002735F3"/>
    <w:rsid w:val="002737F4"/>
    <w:rsid w:val="00276013"/>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4118"/>
    <w:rsid w:val="002B24D6"/>
    <w:rsid w:val="002C41E6"/>
    <w:rsid w:val="002D071A"/>
    <w:rsid w:val="002D34B2"/>
    <w:rsid w:val="002D7637"/>
    <w:rsid w:val="002E17F2"/>
    <w:rsid w:val="002E71C1"/>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E1A"/>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A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1A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7EFC"/>
    <w:rsid w:val="005F2CB1"/>
    <w:rsid w:val="005F3025"/>
    <w:rsid w:val="005F53AE"/>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206"/>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F58"/>
    <w:rsid w:val="006E673D"/>
    <w:rsid w:val="006E7D3B"/>
    <w:rsid w:val="006F1B70"/>
    <w:rsid w:val="006F249D"/>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B5C"/>
    <w:rsid w:val="007925EA"/>
    <w:rsid w:val="00793CD8"/>
    <w:rsid w:val="00795C92"/>
    <w:rsid w:val="00796231"/>
    <w:rsid w:val="007A1CB3"/>
    <w:rsid w:val="007A2984"/>
    <w:rsid w:val="007A306F"/>
    <w:rsid w:val="007A40B5"/>
    <w:rsid w:val="007A43A6"/>
    <w:rsid w:val="007A58A6"/>
    <w:rsid w:val="007B3D2D"/>
    <w:rsid w:val="007B50AE"/>
    <w:rsid w:val="007B51DF"/>
    <w:rsid w:val="007C05DD"/>
    <w:rsid w:val="007C3D18"/>
    <w:rsid w:val="007C51F2"/>
    <w:rsid w:val="007C60BF"/>
    <w:rsid w:val="007C6A07"/>
    <w:rsid w:val="007C75A1"/>
    <w:rsid w:val="007C77A5"/>
    <w:rsid w:val="007D04E5"/>
    <w:rsid w:val="007D5901"/>
    <w:rsid w:val="007D7526"/>
    <w:rsid w:val="007E4610"/>
    <w:rsid w:val="007E4715"/>
    <w:rsid w:val="007E505B"/>
    <w:rsid w:val="007E7091"/>
    <w:rsid w:val="007E77B9"/>
    <w:rsid w:val="007F292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55F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3E84"/>
    <w:rsid w:val="00945C05"/>
    <w:rsid w:val="00946945"/>
    <w:rsid w:val="00947713"/>
    <w:rsid w:val="00950DE7"/>
    <w:rsid w:val="00951EEF"/>
    <w:rsid w:val="00953920"/>
    <w:rsid w:val="00953D47"/>
    <w:rsid w:val="0095681E"/>
    <w:rsid w:val="009572D4"/>
    <w:rsid w:val="00961921"/>
    <w:rsid w:val="0096430A"/>
    <w:rsid w:val="0096554B"/>
    <w:rsid w:val="0096584A"/>
    <w:rsid w:val="00971F08"/>
    <w:rsid w:val="0097603D"/>
    <w:rsid w:val="00976949"/>
    <w:rsid w:val="009801F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DBD"/>
    <w:rsid w:val="00A17F63"/>
    <w:rsid w:val="00A2052C"/>
    <w:rsid w:val="00A2193B"/>
    <w:rsid w:val="00A2351A"/>
    <w:rsid w:val="00A264A9"/>
    <w:rsid w:val="00A27785"/>
    <w:rsid w:val="00A30187"/>
    <w:rsid w:val="00A3448A"/>
    <w:rsid w:val="00A36297"/>
    <w:rsid w:val="00A41E2B"/>
    <w:rsid w:val="00A45B74"/>
    <w:rsid w:val="00A5088E"/>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269C"/>
    <w:rsid w:val="00BC3053"/>
    <w:rsid w:val="00BC4D2E"/>
    <w:rsid w:val="00BD266D"/>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9EA"/>
    <w:rsid w:val="00C3719D"/>
    <w:rsid w:val="00C54995"/>
    <w:rsid w:val="00C54D41"/>
    <w:rsid w:val="00C60783"/>
    <w:rsid w:val="00C61EF3"/>
    <w:rsid w:val="00C64672"/>
    <w:rsid w:val="00C70697"/>
    <w:rsid w:val="00C72EF4"/>
    <w:rsid w:val="00C749EA"/>
    <w:rsid w:val="00C75D2F"/>
    <w:rsid w:val="00C767BE"/>
    <w:rsid w:val="00C76E3C"/>
    <w:rsid w:val="00C81568"/>
    <w:rsid w:val="00C87A54"/>
    <w:rsid w:val="00C9027A"/>
    <w:rsid w:val="00C9068E"/>
    <w:rsid w:val="00C93C4B"/>
    <w:rsid w:val="00C944AB"/>
    <w:rsid w:val="00C95B40"/>
    <w:rsid w:val="00CA1ED8"/>
    <w:rsid w:val="00CB1F63"/>
    <w:rsid w:val="00CB2EA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18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A8F"/>
    <w:rsid w:val="00DB377D"/>
    <w:rsid w:val="00DC2D36"/>
    <w:rsid w:val="00DC53EF"/>
    <w:rsid w:val="00DD45C8"/>
    <w:rsid w:val="00DE5608"/>
    <w:rsid w:val="00DE58D0"/>
    <w:rsid w:val="00DE654F"/>
    <w:rsid w:val="00DF0480"/>
    <w:rsid w:val="00DF0B6E"/>
    <w:rsid w:val="00DF15E0"/>
    <w:rsid w:val="00DF37A0"/>
    <w:rsid w:val="00E110E7"/>
    <w:rsid w:val="00E11B20"/>
    <w:rsid w:val="00E138C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6DD"/>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C2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35F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735F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735F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735F3"/>
    <w:pPr>
      <w:numPr>
        <w:ilvl w:val="2"/>
      </w:numPr>
      <w:spacing w:before="120"/>
      <w:outlineLvl w:val="2"/>
    </w:pPr>
    <w:rPr>
      <w:sz w:val="28"/>
      <w:szCs w:val="28"/>
    </w:rPr>
  </w:style>
  <w:style w:type="paragraph" w:styleId="Heading4">
    <w:name w:val="heading 4"/>
    <w:basedOn w:val="Heading3"/>
    <w:next w:val="Normal"/>
    <w:qFormat/>
    <w:rsid w:val="002735F3"/>
    <w:pPr>
      <w:numPr>
        <w:ilvl w:val="3"/>
      </w:numPr>
      <w:outlineLvl w:val="3"/>
    </w:pPr>
    <w:rPr>
      <w:sz w:val="24"/>
      <w:szCs w:val="24"/>
    </w:rPr>
  </w:style>
  <w:style w:type="paragraph" w:styleId="Heading5">
    <w:name w:val="heading 5"/>
    <w:basedOn w:val="Heading4"/>
    <w:next w:val="Normal"/>
    <w:qFormat/>
    <w:rsid w:val="002735F3"/>
    <w:pPr>
      <w:numPr>
        <w:ilvl w:val="4"/>
      </w:numPr>
      <w:outlineLvl w:val="4"/>
    </w:pPr>
    <w:rPr>
      <w:sz w:val="22"/>
      <w:szCs w:val="22"/>
    </w:rPr>
  </w:style>
  <w:style w:type="paragraph" w:styleId="Heading6">
    <w:name w:val="heading 6"/>
    <w:basedOn w:val="Normal"/>
    <w:next w:val="Normal"/>
    <w:qFormat/>
    <w:rsid w:val="002735F3"/>
    <w:pPr>
      <w:keepNext/>
      <w:keepLines/>
      <w:numPr>
        <w:ilvl w:val="5"/>
        <w:numId w:val="1"/>
      </w:numPr>
      <w:spacing w:before="120"/>
      <w:outlineLvl w:val="5"/>
    </w:pPr>
    <w:rPr>
      <w:rFonts w:cs="Arial"/>
    </w:rPr>
  </w:style>
  <w:style w:type="paragraph" w:styleId="Heading7">
    <w:name w:val="heading 7"/>
    <w:basedOn w:val="Normal"/>
    <w:next w:val="Normal"/>
    <w:qFormat/>
    <w:rsid w:val="002735F3"/>
    <w:pPr>
      <w:keepNext/>
      <w:keepLines/>
      <w:numPr>
        <w:ilvl w:val="6"/>
        <w:numId w:val="1"/>
      </w:numPr>
      <w:spacing w:before="120"/>
      <w:outlineLvl w:val="6"/>
    </w:pPr>
    <w:rPr>
      <w:rFonts w:cs="Arial"/>
    </w:rPr>
  </w:style>
  <w:style w:type="paragraph" w:styleId="Heading8">
    <w:name w:val="heading 8"/>
    <w:basedOn w:val="Heading7"/>
    <w:next w:val="Normal"/>
    <w:qFormat/>
    <w:rsid w:val="002735F3"/>
    <w:pPr>
      <w:numPr>
        <w:ilvl w:val="7"/>
      </w:numPr>
      <w:outlineLvl w:val="7"/>
    </w:pPr>
  </w:style>
  <w:style w:type="paragraph" w:styleId="Heading9">
    <w:name w:val="heading 9"/>
    <w:basedOn w:val="Heading8"/>
    <w:next w:val="Normal"/>
    <w:qFormat/>
    <w:rsid w:val="002735F3"/>
    <w:pPr>
      <w:numPr>
        <w:ilvl w:val="8"/>
      </w:numPr>
      <w:outlineLvl w:val="8"/>
    </w:pPr>
  </w:style>
  <w:style w:type="character" w:default="1" w:styleId="DefaultParagraphFont">
    <w:name w:val="Default Paragraph Font"/>
    <w:uiPriority w:val="1"/>
    <w:semiHidden/>
    <w:unhideWhenUsed/>
    <w:rsid w:val="002735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35F3"/>
  </w:style>
  <w:style w:type="paragraph" w:styleId="TOC8">
    <w:name w:val="toc 8"/>
    <w:basedOn w:val="TOC1"/>
    <w:semiHidden/>
    <w:rsid w:val="002735F3"/>
    <w:pPr>
      <w:spacing w:before="180"/>
      <w:ind w:left="2693" w:hanging="2693"/>
    </w:pPr>
    <w:rPr>
      <w:b w:val="0"/>
      <w:bCs/>
    </w:rPr>
  </w:style>
  <w:style w:type="paragraph" w:styleId="TOC1">
    <w:name w:val="toc 1"/>
    <w:aliases w:val="Observation TOC2"/>
    <w:uiPriority w:val="39"/>
    <w:rsid w:val="002735F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735F3"/>
    <w:pPr>
      <w:keepNext/>
      <w:keepLines/>
      <w:spacing w:before="180"/>
      <w:jc w:val="center"/>
    </w:pPr>
  </w:style>
  <w:style w:type="paragraph" w:styleId="Caption">
    <w:name w:val="caption"/>
    <w:basedOn w:val="Normal"/>
    <w:next w:val="Normal"/>
    <w:qFormat/>
    <w:rsid w:val="002735F3"/>
    <w:pPr>
      <w:spacing w:after="240"/>
      <w:jc w:val="center"/>
    </w:pPr>
    <w:rPr>
      <w:b/>
      <w:bCs/>
    </w:rPr>
  </w:style>
  <w:style w:type="paragraph" w:styleId="TOC5">
    <w:name w:val="toc 5"/>
    <w:aliases w:val="Observation TOC"/>
    <w:basedOn w:val="TOC4"/>
    <w:semiHidden/>
    <w:rsid w:val="002735F3"/>
    <w:pPr>
      <w:tabs>
        <w:tab w:val="right" w:pos="1701"/>
      </w:tabs>
      <w:ind w:left="1701" w:hanging="1701"/>
    </w:pPr>
  </w:style>
  <w:style w:type="paragraph" w:styleId="TOC4">
    <w:name w:val="toc 4"/>
    <w:basedOn w:val="TOC3"/>
    <w:semiHidden/>
    <w:rsid w:val="002735F3"/>
    <w:pPr>
      <w:ind w:left="1418" w:hanging="1418"/>
    </w:pPr>
  </w:style>
  <w:style w:type="paragraph" w:styleId="TOC3">
    <w:name w:val="toc 3"/>
    <w:basedOn w:val="TOC2"/>
    <w:semiHidden/>
    <w:rsid w:val="002735F3"/>
    <w:pPr>
      <w:ind w:left="1134" w:hanging="1134"/>
    </w:pPr>
  </w:style>
  <w:style w:type="paragraph" w:styleId="TOC2">
    <w:name w:val="toc 2"/>
    <w:basedOn w:val="TOC1"/>
    <w:semiHidden/>
    <w:rsid w:val="002735F3"/>
    <w:pPr>
      <w:keepNext w:val="0"/>
      <w:spacing w:before="0"/>
      <w:ind w:left="851" w:hanging="851"/>
    </w:pPr>
    <w:rPr>
      <w:szCs w:val="20"/>
    </w:rPr>
  </w:style>
  <w:style w:type="paragraph" w:styleId="Index2">
    <w:name w:val="index 2"/>
    <w:basedOn w:val="Index1"/>
    <w:semiHidden/>
    <w:rsid w:val="002735F3"/>
    <w:pPr>
      <w:ind w:left="284"/>
    </w:pPr>
  </w:style>
  <w:style w:type="paragraph" w:styleId="Index1">
    <w:name w:val="index 1"/>
    <w:basedOn w:val="Normal"/>
    <w:semiHidden/>
    <w:rsid w:val="002735F3"/>
    <w:pPr>
      <w:keepLines/>
      <w:spacing w:after="0"/>
    </w:pPr>
  </w:style>
  <w:style w:type="paragraph" w:styleId="DocumentMap">
    <w:name w:val="Document Map"/>
    <w:basedOn w:val="Normal"/>
    <w:semiHidden/>
    <w:rsid w:val="002735F3"/>
    <w:pPr>
      <w:shd w:val="clear" w:color="auto" w:fill="000080"/>
    </w:pPr>
    <w:rPr>
      <w:rFonts w:ascii="Tahoma" w:hAnsi="Tahoma" w:cs="Tahoma"/>
    </w:rPr>
  </w:style>
  <w:style w:type="paragraph" w:styleId="ListNumber2">
    <w:name w:val="List Number 2"/>
    <w:basedOn w:val="ListNumber"/>
    <w:rsid w:val="002735F3"/>
    <w:pPr>
      <w:ind w:left="851"/>
    </w:pPr>
  </w:style>
  <w:style w:type="paragraph" w:styleId="ListNumber">
    <w:name w:val="List Number"/>
    <w:basedOn w:val="List"/>
    <w:rsid w:val="002735F3"/>
  </w:style>
  <w:style w:type="paragraph" w:styleId="List">
    <w:name w:val="List"/>
    <w:basedOn w:val="Normal"/>
    <w:rsid w:val="002735F3"/>
    <w:pPr>
      <w:ind w:left="568" w:hanging="284"/>
    </w:pPr>
  </w:style>
  <w:style w:type="paragraph" w:styleId="Header">
    <w:name w:val="header"/>
    <w:rsid w:val="002735F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735F3"/>
    <w:rPr>
      <w:b/>
      <w:bCs/>
      <w:position w:val="6"/>
      <w:sz w:val="16"/>
      <w:szCs w:val="16"/>
    </w:rPr>
  </w:style>
  <w:style w:type="paragraph" w:styleId="FootnoteText">
    <w:name w:val="footnote text"/>
    <w:basedOn w:val="Normal"/>
    <w:semiHidden/>
    <w:rsid w:val="002735F3"/>
    <w:pPr>
      <w:keepLines/>
      <w:spacing w:after="0"/>
      <w:ind w:left="454" w:hanging="454"/>
    </w:pPr>
    <w:rPr>
      <w:sz w:val="16"/>
      <w:szCs w:val="16"/>
    </w:rPr>
  </w:style>
  <w:style w:type="paragraph" w:customStyle="1" w:styleId="3GPPHeader">
    <w:name w:val="3GPP_Header"/>
    <w:basedOn w:val="Normal"/>
    <w:rsid w:val="002735F3"/>
    <w:pPr>
      <w:tabs>
        <w:tab w:val="left" w:pos="1701"/>
        <w:tab w:val="right" w:pos="9639"/>
      </w:tabs>
      <w:spacing w:after="240"/>
    </w:pPr>
    <w:rPr>
      <w:b/>
      <w:sz w:val="24"/>
    </w:rPr>
  </w:style>
  <w:style w:type="paragraph" w:styleId="TOC9">
    <w:name w:val="toc 9"/>
    <w:basedOn w:val="TOC8"/>
    <w:semiHidden/>
    <w:rsid w:val="002735F3"/>
    <w:pPr>
      <w:ind w:left="1418" w:hanging="1418"/>
    </w:pPr>
  </w:style>
  <w:style w:type="paragraph" w:styleId="TOC6">
    <w:name w:val="toc 6"/>
    <w:basedOn w:val="TOC5"/>
    <w:next w:val="Normal"/>
    <w:semiHidden/>
    <w:rsid w:val="002735F3"/>
    <w:pPr>
      <w:ind w:left="1985" w:hanging="1985"/>
    </w:pPr>
  </w:style>
  <w:style w:type="paragraph" w:styleId="TOC7">
    <w:name w:val="toc 7"/>
    <w:basedOn w:val="TOC6"/>
    <w:next w:val="Normal"/>
    <w:semiHidden/>
    <w:rsid w:val="002735F3"/>
    <w:pPr>
      <w:ind w:left="2268" w:hanging="2268"/>
    </w:pPr>
  </w:style>
  <w:style w:type="paragraph" w:styleId="ListBullet2">
    <w:name w:val="List Bullet 2"/>
    <w:basedOn w:val="ListBullet"/>
    <w:rsid w:val="002735F3"/>
    <w:pPr>
      <w:numPr>
        <w:numId w:val="6"/>
      </w:numPr>
    </w:pPr>
  </w:style>
  <w:style w:type="paragraph" w:styleId="ListBullet">
    <w:name w:val="List Bullet"/>
    <w:basedOn w:val="BodyText"/>
    <w:rsid w:val="002735F3"/>
    <w:pPr>
      <w:numPr>
        <w:numId w:val="5"/>
      </w:numPr>
    </w:pPr>
  </w:style>
  <w:style w:type="paragraph" w:styleId="ListBullet3">
    <w:name w:val="List Bullet 3"/>
    <w:basedOn w:val="ListBullet2"/>
    <w:rsid w:val="002735F3"/>
    <w:pPr>
      <w:numPr>
        <w:numId w:val="7"/>
      </w:numPr>
    </w:pPr>
  </w:style>
  <w:style w:type="paragraph" w:customStyle="1" w:styleId="EQ">
    <w:name w:val="EQ"/>
    <w:basedOn w:val="Normal"/>
    <w:next w:val="Normal"/>
    <w:rsid w:val="002735F3"/>
    <w:pPr>
      <w:keepLines/>
      <w:tabs>
        <w:tab w:val="center" w:pos="4536"/>
        <w:tab w:val="right" w:pos="9072"/>
      </w:tabs>
      <w:spacing w:after="180"/>
      <w:jc w:val="left"/>
    </w:pPr>
    <w:rPr>
      <w:noProof/>
      <w:lang w:eastAsia="en-US"/>
    </w:rPr>
  </w:style>
  <w:style w:type="paragraph" w:styleId="List2">
    <w:name w:val="List 2"/>
    <w:basedOn w:val="List"/>
    <w:rsid w:val="002735F3"/>
    <w:pPr>
      <w:ind w:left="851"/>
    </w:pPr>
  </w:style>
  <w:style w:type="paragraph" w:styleId="List3">
    <w:name w:val="List 3"/>
    <w:basedOn w:val="List2"/>
    <w:rsid w:val="002735F3"/>
    <w:pPr>
      <w:ind w:left="1135"/>
    </w:pPr>
  </w:style>
  <w:style w:type="paragraph" w:styleId="List4">
    <w:name w:val="List 4"/>
    <w:basedOn w:val="List3"/>
    <w:rsid w:val="002735F3"/>
    <w:pPr>
      <w:ind w:left="1418"/>
    </w:pPr>
  </w:style>
  <w:style w:type="paragraph" w:styleId="List5">
    <w:name w:val="List 5"/>
    <w:basedOn w:val="List4"/>
    <w:rsid w:val="002735F3"/>
    <w:pPr>
      <w:ind w:left="1702"/>
    </w:pPr>
  </w:style>
  <w:style w:type="paragraph" w:customStyle="1" w:styleId="EditorsNote">
    <w:name w:val="Editor's Note"/>
    <w:basedOn w:val="Normal"/>
    <w:rsid w:val="002735F3"/>
    <w:pPr>
      <w:keepLines/>
      <w:spacing w:after="180"/>
      <w:ind w:left="1135" w:hanging="851"/>
      <w:jc w:val="left"/>
    </w:pPr>
    <w:rPr>
      <w:color w:val="FF0000"/>
      <w:lang w:eastAsia="en-US"/>
    </w:rPr>
  </w:style>
  <w:style w:type="paragraph" w:styleId="ListBullet4">
    <w:name w:val="List Bullet 4"/>
    <w:basedOn w:val="ListBullet3"/>
    <w:rsid w:val="002735F3"/>
    <w:pPr>
      <w:numPr>
        <w:numId w:val="8"/>
      </w:numPr>
    </w:pPr>
  </w:style>
  <w:style w:type="paragraph" w:styleId="ListBullet5">
    <w:name w:val="List Bullet 5"/>
    <w:basedOn w:val="ListBullet4"/>
    <w:rsid w:val="002735F3"/>
    <w:pPr>
      <w:numPr>
        <w:numId w:val="4"/>
      </w:numPr>
    </w:pPr>
  </w:style>
  <w:style w:type="paragraph" w:styleId="Footer">
    <w:name w:val="footer"/>
    <w:basedOn w:val="Header"/>
    <w:semiHidden/>
    <w:rsid w:val="002735F3"/>
    <w:pPr>
      <w:jc w:val="center"/>
    </w:pPr>
    <w:rPr>
      <w:i/>
      <w:iCs/>
    </w:rPr>
  </w:style>
  <w:style w:type="paragraph" w:customStyle="1" w:styleId="Reference">
    <w:name w:val="Reference"/>
    <w:basedOn w:val="Normal"/>
    <w:rsid w:val="002735F3"/>
    <w:pPr>
      <w:numPr>
        <w:numId w:val="2"/>
      </w:numPr>
    </w:pPr>
  </w:style>
  <w:style w:type="paragraph" w:styleId="BalloonText">
    <w:name w:val="Balloon Text"/>
    <w:basedOn w:val="Normal"/>
    <w:semiHidden/>
    <w:rsid w:val="002735F3"/>
    <w:rPr>
      <w:rFonts w:ascii="Tahoma" w:hAnsi="Tahoma" w:cs="Tahoma"/>
      <w:sz w:val="16"/>
      <w:szCs w:val="16"/>
    </w:rPr>
  </w:style>
  <w:style w:type="character" w:styleId="PageNumber">
    <w:name w:val="page number"/>
    <w:basedOn w:val="DefaultParagraphFont"/>
    <w:semiHidden/>
    <w:rsid w:val="002735F3"/>
  </w:style>
  <w:style w:type="paragraph" w:styleId="BodyText">
    <w:name w:val="Body Text"/>
    <w:basedOn w:val="Normal"/>
    <w:link w:val="BodyTextChar"/>
    <w:rsid w:val="002735F3"/>
  </w:style>
  <w:style w:type="character" w:styleId="Hyperlink">
    <w:name w:val="Hyperlink"/>
    <w:uiPriority w:val="99"/>
    <w:rsid w:val="002735F3"/>
    <w:rPr>
      <w:color w:val="0000FF"/>
      <w:u w:val="single"/>
      <w:lang w:val="en-GB"/>
    </w:rPr>
  </w:style>
  <w:style w:type="character" w:styleId="FollowedHyperlink">
    <w:name w:val="FollowedHyperlink"/>
    <w:semiHidden/>
    <w:rsid w:val="002735F3"/>
    <w:rPr>
      <w:color w:val="FF0000"/>
      <w:u w:val="single"/>
    </w:rPr>
  </w:style>
  <w:style w:type="character" w:styleId="CommentReference">
    <w:name w:val="annotation reference"/>
    <w:semiHidden/>
    <w:rsid w:val="002735F3"/>
    <w:rPr>
      <w:sz w:val="16"/>
      <w:szCs w:val="16"/>
    </w:rPr>
  </w:style>
  <w:style w:type="paragraph" w:styleId="CommentText">
    <w:name w:val="annotation text"/>
    <w:basedOn w:val="Normal"/>
    <w:semiHidden/>
    <w:rsid w:val="002735F3"/>
  </w:style>
  <w:style w:type="paragraph" w:styleId="CommentSubject">
    <w:name w:val="annotation subject"/>
    <w:basedOn w:val="CommentText"/>
    <w:next w:val="CommentText"/>
    <w:semiHidden/>
    <w:rsid w:val="002735F3"/>
    <w:rPr>
      <w:b/>
      <w:bCs/>
    </w:rPr>
  </w:style>
  <w:style w:type="character" w:customStyle="1" w:styleId="Heading1Char">
    <w:name w:val="Heading 1 Char"/>
    <w:link w:val="Heading1"/>
    <w:rsid w:val="002735F3"/>
    <w:rPr>
      <w:rFonts w:ascii="Arial" w:hAnsi="Arial" w:cs="Arial"/>
      <w:sz w:val="36"/>
      <w:szCs w:val="36"/>
      <w:lang w:val="en-GB" w:eastAsia="zh-CN"/>
    </w:rPr>
  </w:style>
  <w:style w:type="paragraph" w:customStyle="1" w:styleId="B1">
    <w:name w:val="B1"/>
    <w:basedOn w:val="List"/>
    <w:rsid w:val="002735F3"/>
    <w:pPr>
      <w:spacing w:after="180"/>
      <w:jc w:val="left"/>
    </w:pPr>
    <w:rPr>
      <w:lang w:eastAsia="en-US"/>
    </w:rPr>
  </w:style>
  <w:style w:type="paragraph" w:customStyle="1" w:styleId="B2">
    <w:name w:val="B2"/>
    <w:basedOn w:val="List2"/>
    <w:rsid w:val="002735F3"/>
    <w:pPr>
      <w:spacing w:after="180"/>
      <w:jc w:val="left"/>
    </w:pPr>
    <w:rPr>
      <w:lang w:eastAsia="en-US"/>
    </w:rPr>
  </w:style>
  <w:style w:type="paragraph" w:customStyle="1" w:styleId="B3">
    <w:name w:val="B3"/>
    <w:basedOn w:val="List3"/>
    <w:rsid w:val="002735F3"/>
    <w:pPr>
      <w:spacing w:after="180"/>
      <w:jc w:val="left"/>
    </w:pPr>
    <w:rPr>
      <w:lang w:eastAsia="en-US"/>
    </w:rPr>
  </w:style>
  <w:style w:type="paragraph" w:customStyle="1" w:styleId="B4">
    <w:name w:val="B4"/>
    <w:basedOn w:val="List4"/>
    <w:rsid w:val="002735F3"/>
    <w:pPr>
      <w:spacing w:after="180"/>
      <w:jc w:val="left"/>
    </w:pPr>
    <w:rPr>
      <w:lang w:eastAsia="en-US"/>
    </w:rPr>
  </w:style>
  <w:style w:type="paragraph" w:customStyle="1" w:styleId="Proposal">
    <w:name w:val="Proposal"/>
    <w:basedOn w:val="Normal"/>
    <w:rsid w:val="002735F3"/>
    <w:pPr>
      <w:numPr>
        <w:numId w:val="3"/>
      </w:numPr>
      <w:tabs>
        <w:tab w:val="clear" w:pos="1304"/>
        <w:tab w:val="left" w:pos="1701"/>
      </w:tabs>
      <w:ind w:left="1701" w:hanging="1701"/>
    </w:pPr>
    <w:rPr>
      <w:b/>
      <w:bCs/>
    </w:rPr>
  </w:style>
  <w:style w:type="character" w:customStyle="1" w:styleId="BodyTextChar">
    <w:name w:val="Body Text Char"/>
    <w:link w:val="BodyText"/>
    <w:rsid w:val="002735F3"/>
    <w:rPr>
      <w:rFonts w:ascii="Arial" w:hAnsi="Arial"/>
      <w:lang w:val="en-GB" w:eastAsia="zh-CN"/>
    </w:rPr>
  </w:style>
  <w:style w:type="paragraph" w:customStyle="1" w:styleId="B5">
    <w:name w:val="B5"/>
    <w:basedOn w:val="List5"/>
    <w:rsid w:val="002735F3"/>
    <w:pPr>
      <w:spacing w:after="180"/>
      <w:jc w:val="left"/>
    </w:pPr>
    <w:rPr>
      <w:lang w:eastAsia="en-US"/>
    </w:rPr>
  </w:style>
  <w:style w:type="paragraph" w:customStyle="1" w:styleId="EX">
    <w:name w:val="EX"/>
    <w:basedOn w:val="Normal"/>
    <w:rsid w:val="002735F3"/>
    <w:pPr>
      <w:keepLines/>
      <w:spacing w:after="180"/>
      <w:ind w:left="1702" w:hanging="1418"/>
      <w:jc w:val="left"/>
    </w:pPr>
    <w:rPr>
      <w:lang w:eastAsia="en-US"/>
    </w:rPr>
  </w:style>
  <w:style w:type="paragraph" w:customStyle="1" w:styleId="EW">
    <w:name w:val="EW"/>
    <w:basedOn w:val="EX"/>
    <w:rsid w:val="002735F3"/>
    <w:pPr>
      <w:spacing w:after="0"/>
    </w:pPr>
  </w:style>
  <w:style w:type="paragraph" w:customStyle="1" w:styleId="TAL">
    <w:name w:val="TAL"/>
    <w:basedOn w:val="Normal"/>
    <w:link w:val="TALCar"/>
    <w:rsid w:val="002735F3"/>
    <w:pPr>
      <w:keepNext/>
      <w:keepLines/>
      <w:spacing w:after="0"/>
      <w:jc w:val="left"/>
    </w:pPr>
    <w:rPr>
      <w:sz w:val="18"/>
      <w:lang w:eastAsia="en-US"/>
    </w:rPr>
  </w:style>
  <w:style w:type="paragraph" w:customStyle="1" w:styleId="TAC">
    <w:name w:val="TAC"/>
    <w:basedOn w:val="TAL"/>
    <w:rsid w:val="002735F3"/>
    <w:pPr>
      <w:jc w:val="center"/>
    </w:pPr>
  </w:style>
  <w:style w:type="paragraph" w:customStyle="1" w:styleId="TAH">
    <w:name w:val="TAH"/>
    <w:basedOn w:val="TAC"/>
    <w:link w:val="TAHCar"/>
    <w:rsid w:val="002735F3"/>
    <w:rPr>
      <w:b/>
    </w:rPr>
  </w:style>
  <w:style w:type="paragraph" w:customStyle="1" w:styleId="TAN">
    <w:name w:val="TAN"/>
    <w:basedOn w:val="TAL"/>
    <w:rsid w:val="002735F3"/>
    <w:pPr>
      <w:ind w:left="851" w:hanging="851"/>
    </w:pPr>
  </w:style>
  <w:style w:type="paragraph" w:customStyle="1" w:styleId="TAR">
    <w:name w:val="TAR"/>
    <w:basedOn w:val="TAL"/>
    <w:rsid w:val="002735F3"/>
    <w:pPr>
      <w:jc w:val="right"/>
    </w:pPr>
  </w:style>
  <w:style w:type="paragraph" w:customStyle="1" w:styleId="TH">
    <w:name w:val="TH"/>
    <w:basedOn w:val="Normal"/>
    <w:rsid w:val="002735F3"/>
    <w:pPr>
      <w:keepNext/>
      <w:keepLines/>
      <w:spacing w:before="60" w:after="180"/>
      <w:jc w:val="center"/>
    </w:pPr>
    <w:rPr>
      <w:b/>
      <w:lang w:eastAsia="en-US"/>
    </w:rPr>
  </w:style>
  <w:style w:type="paragraph" w:customStyle="1" w:styleId="TF">
    <w:name w:val="TF"/>
    <w:basedOn w:val="TH"/>
    <w:rsid w:val="002735F3"/>
    <w:pPr>
      <w:keepNext w:val="0"/>
      <w:spacing w:before="0" w:after="240"/>
    </w:pPr>
  </w:style>
  <w:style w:type="paragraph" w:customStyle="1" w:styleId="TT">
    <w:name w:val="TT"/>
    <w:basedOn w:val="Heading1"/>
    <w:next w:val="Normal"/>
    <w:rsid w:val="002735F3"/>
    <w:pPr>
      <w:numPr>
        <w:numId w:val="0"/>
      </w:numPr>
      <w:ind w:left="1134" w:hanging="1134"/>
      <w:outlineLvl w:val="9"/>
    </w:pPr>
    <w:rPr>
      <w:rFonts w:cs="Times New Roman"/>
      <w:szCs w:val="20"/>
      <w:lang w:eastAsia="en-US"/>
    </w:rPr>
  </w:style>
  <w:style w:type="paragraph" w:customStyle="1" w:styleId="ZA">
    <w:name w:val="ZA"/>
    <w:rsid w:val="002735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35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35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735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735F3"/>
  </w:style>
  <w:style w:type="paragraph" w:customStyle="1" w:styleId="ZH">
    <w:name w:val="ZH"/>
    <w:rsid w:val="002735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735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735F3"/>
    <w:pPr>
      <w:framePr w:hRule="auto" w:wrap="notBeside" w:y="852"/>
    </w:pPr>
    <w:rPr>
      <w:i w:val="0"/>
      <w:sz w:val="40"/>
    </w:rPr>
  </w:style>
  <w:style w:type="paragraph" w:customStyle="1" w:styleId="ZU">
    <w:name w:val="ZU"/>
    <w:rsid w:val="002735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35F3"/>
    <w:pPr>
      <w:framePr w:wrap="notBeside" w:y="16161"/>
    </w:pPr>
  </w:style>
  <w:style w:type="paragraph" w:customStyle="1" w:styleId="FP">
    <w:name w:val="FP"/>
    <w:basedOn w:val="Normal"/>
    <w:rsid w:val="002735F3"/>
    <w:pPr>
      <w:spacing w:after="0"/>
      <w:jc w:val="left"/>
    </w:pPr>
    <w:rPr>
      <w:lang w:eastAsia="en-US"/>
    </w:rPr>
  </w:style>
  <w:style w:type="paragraph" w:customStyle="1" w:styleId="Observation">
    <w:name w:val="Observation"/>
    <w:basedOn w:val="Proposal"/>
    <w:qFormat/>
    <w:rsid w:val="002735F3"/>
    <w:pPr>
      <w:numPr>
        <w:numId w:val="13"/>
      </w:numPr>
      <w:ind w:left="1701" w:hanging="1701"/>
    </w:pPr>
  </w:style>
  <w:style w:type="paragraph" w:styleId="TableofFigures">
    <w:name w:val="table of figures"/>
    <w:basedOn w:val="Normal"/>
    <w:next w:val="Normal"/>
    <w:uiPriority w:val="99"/>
    <w:rsid w:val="002735F3"/>
    <w:pPr>
      <w:ind w:left="1418" w:hanging="1418"/>
      <w:jc w:val="left"/>
    </w:pPr>
    <w:rPr>
      <w:b/>
    </w:rPr>
  </w:style>
  <w:style w:type="paragraph" w:customStyle="1" w:styleId="Doc-text2">
    <w:name w:val="Doc-text2"/>
    <w:basedOn w:val="Normal"/>
    <w:link w:val="Doc-text2Char"/>
    <w:qFormat/>
    <w:rsid w:val="002735F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35F3"/>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CB2EA5"/>
    <w:rPr>
      <w:rFonts w:ascii="Arial" w:hAnsi="Arial"/>
      <w:sz w:val="18"/>
      <w:lang w:val="en-GB"/>
    </w:rPr>
  </w:style>
  <w:style w:type="character" w:customStyle="1" w:styleId="TAHCar">
    <w:name w:val="TAH Car"/>
    <w:link w:val="TAH"/>
    <w:qFormat/>
    <w:locked/>
    <w:rsid w:val="00CB2EA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4292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6066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5NUHHDQN7SK2-1476151046-34568</_dlc_DocId>
    <_dlc_DocIdUrl xmlns="f166a696-7b5b-4ccd-9f0c-ffde0cceec81">
      <Url>https://ericsson.sharepoint.com/sites/star/_layouts/15/DocIdRedir.aspx?ID=5NUHHDQN7SK2-1476151046-34568</Url>
      <Description>5NUHHDQN7SK2-1476151046-34568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6889456B-C522-4599-8E61-459F0C871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f166a696-7b5b-4ccd-9f0c-ffde0cceec81"/>
    <ds:schemaRef ds:uri="http://purl.org/dc/terms/"/>
    <ds:schemaRef ds:uri="611109f9-ed58-4498-a270-1fb2086a5321"/>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sharepoint/v4"/>
    <ds:schemaRef ds:uri="d8762117-8292-4133-b1c7-eab5c6487cfd"/>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694344D3-E478-48D6-91EC-224FDA16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36</TotalTime>
  <Pages>4</Pages>
  <Words>761</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38</cp:revision>
  <cp:lastPrinted>2008-01-31T16:09:00Z</cp:lastPrinted>
  <dcterms:created xsi:type="dcterms:W3CDTF">2018-10-22T08:29:00Z</dcterms:created>
  <dcterms:modified xsi:type="dcterms:W3CDTF">2018-11-01T21:11:00Z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8581c04b-8c3e-4518-8ee2-33159a16f662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